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EC" w:rsidRPr="00D52759" w:rsidRDefault="00D52759">
      <w:pPr>
        <w:spacing w:before="472"/>
        <w:ind w:left="360"/>
        <w:rPr>
          <w:rFonts w:ascii="Times New Roman"/>
          <w:b/>
          <w:sz w:val="48"/>
          <w:u w:val="single"/>
        </w:rPr>
      </w:pPr>
      <w:r>
        <w:rPr>
          <w:rFonts w:ascii="Times New Roman"/>
          <w:b/>
          <w:spacing w:val="-4"/>
          <w:sz w:val="48"/>
        </w:rPr>
        <w:t xml:space="preserve">                 </w:t>
      </w:r>
      <w:bookmarkStart w:id="0" w:name="_GoBack"/>
      <w:proofErr w:type="gramStart"/>
      <w:r w:rsidRPr="00D52759">
        <w:rPr>
          <w:rFonts w:ascii="Times New Roman"/>
          <w:b/>
          <w:spacing w:val="-4"/>
          <w:sz w:val="48"/>
          <w:u w:val="single"/>
        </w:rPr>
        <w:t>SRU  STEELS</w:t>
      </w:r>
      <w:proofErr w:type="gramEnd"/>
      <w:r w:rsidRPr="00D52759">
        <w:rPr>
          <w:rFonts w:ascii="Times New Roman"/>
          <w:b/>
          <w:spacing w:val="-4"/>
          <w:sz w:val="48"/>
          <w:u w:val="single"/>
        </w:rPr>
        <w:t xml:space="preserve"> </w:t>
      </w:r>
      <w:r w:rsidRPr="00D52759">
        <w:rPr>
          <w:rFonts w:ascii="Times New Roman"/>
          <w:b/>
          <w:spacing w:val="-26"/>
          <w:sz w:val="48"/>
          <w:u w:val="single"/>
        </w:rPr>
        <w:t xml:space="preserve"> </w:t>
      </w:r>
      <w:r w:rsidRPr="00D52759">
        <w:rPr>
          <w:rFonts w:ascii="Times New Roman"/>
          <w:b/>
          <w:spacing w:val="-4"/>
          <w:sz w:val="48"/>
          <w:u w:val="single"/>
        </w:rPr>
        <w:t>LIMITED</w:t>
      </w:r>
      <w:bookmarkEnd w:id="0"/>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jc w:val="left"/>
        <w:rPr>
          <w:rFonts w:ascii="Times New Roman"/>
          <w:b/>
          <w:sz w:val="32"/>
        </w:rPr>
      </w:pPr>
    </w:p>
    <w:p w:rsidR="002626EC" w:rsidRDefault="002626EC">
      <w:pPr>
        <w:pStyle w:val="BodyText"/>
        <w:spacing w:before="322"/>
        <w:jc w:val="left"/>
        <w:rPr>
          <w:rFonts w:ascii="Times New Roman"/>
          <w:b/>
          <w:sz w:val="32"/>
        </w:rPr>
      </w:pPr>
    </w:p>
    <w:p w:rsidR="002626EC" w:rsidRDefault="00D52759">
      <w:pPr>
        <w:pStyle w:val="Title"/>
        <w:tabs>
          <w:tab w:val="left" w:pos="3932"/>
          <w:tab w:val="left" w:pos="7380"/>
        </w:tabs>
        <w:spacing w:line="276" w:lineRule="auto"/>
      </w:pPr>
      <w:r>
        <w:rPr>
          <w:spacing w:val="-2"/>
        </w:rPr>
        <w:t>WHISTLE</w:t>
      </w:r>
      <w:r>
        <w:tab/>
      </w:r>
      <w:r>
        <w:rPr>
          <w:spacing w:val="-2"/>
        </w:rPr>
        <w:t>BLOWER</w:t>
      </w:r>
      <w:r>
        <w:tab/>
      </w:r>
      <w:r>
        <w:rPr>
          <w:spacing w:val="-2"/>
        </w:rPr>
        <w:t xml:space="preserve">POLICY/ </w:t>
      </w:r>
      <w:r>
        <w:t>VIGIL MECHANISM</w:t>
      </w:r>
    </w:p>
    <w:p w:rsidR="002626EC" w:rsidRDefault="002626EC">
      <w:pPr>
        <w:pStyle w:val="Title"/>
        <w:spacing w:line="276" w:lineRule="auto"/>
        <w:sectPr w:rsidR="002626EC">
          <w:type w:val="continuous"/>
          <w:pgSz w:w="12240" w:h="15840"/>
          <w:pgMar w:top="1820" w:right="1440" w:bottom="280" w:left="1080" w:header="720" w:footer="720" w:gutter="0"/>
          <w:cols w:space="720"/>
        </w:sectPr>
      </w:pPr>
    </w:p>
    <w:p w:rsidR="002626EC" w:rsidRDefault="00D52759">
      <w:pPr>
        <w:pStyle w:val="Heading1"/>
        <w:spacing w:before="75"/>
        <w:ind w:left="235" w:firstLine="0"/>
        <w:jc w:val="center"/>
      </w:pPr>
      <w:r>
        <w:lastRenderedPageBreak/>
        <w:t>WHISTLE</w:t>
      </w:r>
      <w:r>
        <w:rPr>
          <w:spacing w:val="-9"/>
        </w:rPr>
        <w:t xml:space="preserve"> </w:t>
      </w:r>
      <w:r>
        <w:t>BLOWER</w:t>
      </w:r>
      <w:r>
        <w:rPr>
          <w:spacing w:val="-4"/>
        </w:rPr>
        <w:t xml:space="preserve"> </w:t>
      </w:r>
      <w:r>
        <w:rPr>
          <w:spacing w:val="-2"/>
        </w:rPr>
        <w:t>POLICY</w:t>
      </w:r>
    </w:p>
    <w:p w:rsidR="002626EC" w:rsidRDefault="002626EC">
      <w:pPr>
        <w:pStyle w:val="BodyText"/>
        <w:spacing w:before="3"/>
        <w:jc w:val="left"/>
        <w:rPr>
          <w:rFonts w:ascii="Arial"/>
          <w:b/>
        </w:rPr>
      </w:pPr>
    </w:p>
    <w:p w:rsidR="002626EC" w:rsidRDefault="00D52759">
      <w:pPr>
        <w:pStyle w:val="BodyText"/>
        <w:ind w:left="300" w:right="27"/>
      </w:pPr>
      <w:r>
        <w:t>This Whistle Blower Policy (“the Policy”) has been formulated with a view to provide a mechanism for employees</w:t>
      </w:r>
      <w:r>
        <w:rPr>
          <w:spacing w:val="-3"/>
        </w:rPr>
        <w:t xml:space="preserve"> </w:t>
      </w:r>
      <w:r>
        <w:t>of the Company</w:t>
      </w:r>
      <w:r>
        <w:rPr>
          <w:spacing w:val="-1"/>
        </w:rPr>
        <w:t xml:space="preserve"> </w:t>
      </w:r>
      <w:r>
        <w:t>to</w:t>
      </w:r>
      <w:r>
        <w:rPr>
          <w:spacing w:val="-1"/>
        </w:rPr>
        <w:t xml:space="preserve"> </w:t>
      </w:r>
      <w:r>
        <w:t>approach Chairman</w:t>
      </w:r>
      <w:r>
        <w:rPr>
          <w:spacing w:val="-1"/>
        </w:rPr>
        <w:t xml:space="preserve"> </w:t>
      </w:r>
      <w:r>
        <w:t>of the</w:t>
      </w:r>
      <w:r>
        <w:rPr>
          <w:spacing w:val="-4"/>
        </w:rPr>
        <w:t xml:space="preserve"> </w:t>
      </w:r>
      <w:r>
        <w:t>Audit Committee</w:t>
      </w:r>
      <w:r>
        <w:rPr>
          <w:spacing w:val="-1"/>
        </w:rPr>
        <w:t xml:space="preserve"> </w:t>
      </w:r>
      <w:r>
        <w:t>of</w:t>
      </w:r>
      <w:r>
        <w:rPr>
          <w:spacing w:val="-1"/>
        </w:rPr>
        <w:t xml:space="preserve"> </w:t>
      </w:r>
      <w:r>
        <w:t xml:space="preserve">the </w:t>
      </w:r>
      <w:r>
        <w:rPr>
          <w:spacing w:val="-2"/>
        </w:rPr>
        <w:t>Company.</w:t>
      </w:r>
    </w:p>
    <w:p w:rsidR="002626EC" w:rsidRDefault="002626EC">
      <w:pPr>
        <w:pStyle w:val="BodyText"/>
        <w:spacing w:before="5"/>
        <w:jc w:val="left"/>
      </w:pPr>
    </w:p>
    <w:p w:rsidR="002626EC" w:rsidRDefault="00D52759">
      <w:pPr>
        <w:pStyle w:val="Heading1"/>
        <w:numPr>
          <w:ilvl w:val="0"/>
          <w:numId w:val="1"/>
        </w:numPr>
        <w:tabs>
          <w:tab w:val="left" w:pos="616"/>
        </w:tabs>
        <w:spacing w:before="1"/>
        <w:ind w:left="616" w:hanging="199"/>
      </w:pPr>
      <w:r>
        <w:rPr>
          <w:spacing w:val="-2"/>
        </w:rPr>
        <w:t>Scope</w:t>
      </w:r>
    </w:p>
    <w:p w:rsidR="002626EC" w:rsidRDefault="002626EC">
      <w:pPr>
        <w:pStyle w:val="BodyText"/>
        <w:spacing w:before="9"/>
        <w:jc w:val="left"/>
        <w:rPr>
          <w:rFonts w:ascii="Arial"/>
          <w:b/>
        </w:rPr>
      </w:pPr>
    </w:p>
    <w:p w:rsidR="002626EC" w:rsidRDefault="00D52759">
      <w:pPr>
        <w:pStyle w:val="ListParagraph"/>
        <w:numPr>
          <w:ilvl w:val="1"/>
          <w:numId w:val="1"/>
        </w:numPr>
        <w:tabs>
          <w:tab w:val="left" w:pos="1138"/>
          <w:tab w:val="left" w:pos="1140"/>
        </w:tabs>
        <w:spacing w:before="1"/>
        <w:ind w:right="128"/>
        <w:jc w:val="both"/>
      </w:pPr>
      <w:r>
        <w:t>The</w:t>
      </w:r>
      <w:r>
        <w:rPr>
          <w:spacing w:val="-4"/>
        </w:rPr>
        <w:t xml:space="preserve"> </w:t>
      </w:r>
      <w:r>
        <w:t>Whistle Blower’s role is that of a</w:t>
      </w:r>
      <w:r>
        <w:rPr>
          <w:spacing w:val="-2"/>
        </w:rPr>
        <w:t xml:space="preserve"> </w:t>
      </w:r>
      <w:r>
        <w:t>reporting party with reliable information. They are not required or</w:t>
      </w:r>
      <w:r>
        <w:rPr>
          <w:spacing w:val="-2"/>
        </w:rPr>
        <w:t xml:space="preserve"> </w:t>
      </w:r>
      <w:r>
        <w:t>expected to act as investigators or finders of facts, nor would they determine the appropriate corrective or remedial action that may be warranted in a given case.</w:t>
      </w:r>
    </w:p>
    <w:p w:rsidR="002626EC" w:rsidRDefault="00D52759">
      <w:pPr>
        <w:pStyle w:val="ListParagraph"/>
        <w:numPr>
          <w:ilvl w:val="1"/>
          <w:numId w:val="1"/>
        </w:numPr>
        <w:tabs>
          <w:tab w:val="left" w:pos="1138"/>
          <w:tab w:val="left" w:pos="1140"/>
        </w:tabs>
        <w:ind w:right="134"/>
        <w:jc w:val="both"/>
      </w:pPr>
      <w:r>
        <w:t>Whistle Blowers should n</w:t>
      </w:r>
      <w:r>
        <w:t>ot act on their own in conducting any investigative activities, nor do they have a right to participate in any investigative activities other than as requested by the Chairman of the Audit Committee or the Investigators.</w:t>
      </w:r>
    </w:p>
    <w:p w:rsidR="002626EC" w:rsidRDefault="00D52759">
      <w:pPr>
        <w:pStyle w:val="ListParagraph"/>
        <w:numPr>
          <w:ilvl w:val="1"/>
          <w:numId w:val="1"/>
        </w:numPr>
        <w:tabs>
          <w:tab w:val="left" w:pos="1140"/>
        </w:tabs>
        <w:ind w:right="132"/>
        <w:jc w:val="both"/>
      </w:pPr>
      <w:r>
        <w:t>Protected Disclosure will be approp</w:t>
      </w:r>
      <w:r>
        <w:t>riately dealt with by the Chairman of the Audit Committee, as the case may be.</w:t>
      </w:r>
    </w:p>
    <w:p w:rsidR="002626EC" w:rsidRDefault="002626EC">
      <w:pPr>
        <w:pStyle w:val="BodyText"/>
        <w:spacing w:before="2"/>
        <w:jc w:val="left"/>
      </w:pPr>
    </w:p>
    <w:p w:rsidR="002626EC" w:rsidRDefault="00D52759">
      <w:pPr>
        <w:pStyle w:val="Heading1"/>
        <w:numPr>
          <w:ilvl w:val="0"/>
          <w:numId w:val="1"/>
        </w:numPr>
        <w:tabs>
          <w:tab w:val="left" w:pos="616"/>
        </w:tabs>
        <w:ind w:left="616" w:hanging="199"/>
      </w:pPr>
      <w:r>
        <w:rPr>
          <w:spacing w:val="-2"/>
        </w:rPr>
        <w:t>Eligibility</w:t>
      </w:r>
    </w:p>
    <w:p w:rsidR="002626EC" w:rsidRDefault="002626EC">
      <w:pPr>
        <w:pStyle w:val="BodyText"/>
        <w:spacing w:before="7"/>
        <w:jc w:val="left"/>
        <w:rPr>
          <w:rFonts w:ascii="Arial"/>
          <w:b/>
        </w:rPr>
      </w:pPr>
    </w:p>
    <w:p w:rsidR="002626EC" w:rsidRDefault="00D52759">
      <w:pPr>
        <w:pStyle w:val="BodyText"/>
        <w:spacing w:line="271" w:lineRule="auto"/>
        <w:ind w:left="300" w:right="29"/>
      </w:pPr>
      <w:r>
        <w:t>All</w:t>
      </w:r>
      <w:r>
        <w:rPr>
          <w:spacing w:val="34"/>
        </w:rPr>
        <w:t xml:space="preserve"> </w:t>
      </w:r>
      <w:r>
        <w:t>Employees</w:t>
      </w:r>
      <w:r>
        <w:rPr>
          <w:spacing w:val="34"/>
        </w:rPr>
        <w:t xml:space="preserve"> </w:t>
      </w:r>
      <w:r>
        <w:t>of</w:t>
      </w:r>
      <w:r>
        <w:rPr>
          <w:spacing w:val="39"/>
        </w:rPr>
        <w:t xml:space="preserve"> </w:t>
      </w:r>
      <w:r>
        <w:t>the</w:t>
      </w:r>
      <w:r>
        <w:rPr>
          <w:spacing w:val="35"/>
        </w:rPr>
        <w:t xml:space="preserve"> </w:t>
      </w:r>
      <w:r>
        <w:t>Company</w:t>
      </w:r>
      <w:r>
        <w:rPr>
          <w:spacing w:val="37"/>
        </w:rPr>
        <w:t xml:space="preserve"> </w:t>
      </w:r>
      <w:r>
        <w:t>are eligible</w:t>
      </w:r>
      <w:r>
        <w:rPr>
          <w:spacing w:val="35"/>
        </w:rPr>
        <w:t xml:space="preserve"> </w:t>
      </w:r>
      <w:r>
        <w:t>to</w:t>
      </w:r>
      <w:r>
        <w:rPr>
          <w:spacing w:val="37"/>
        </w:rPr>
        <w:t xml:space="preserve"> </w:t>
      </w:r>
      <w:r>
        <w:t>make</w:t>
      </w:r>
      <w:r>
        <w:rPr>
          <w:spacing w:val="39"/>
        </w:rPr>
        <w:t xml:space="preserve"> </w:t>
      </w:r>
      <w:r>
        <w:t>Protected</w:t>
      </w:r>
      <w:r>
        <w:rPr>
          <w:spacing w:val="39"/>
        </w:rPr>
        <w:t xml:space="preserve"> </w:t>
      </w:r>
      <w:r>
        <w:t>Disclosures under</w:t>
      </w:r>
      <w:r>
        <w:rPr>
          <w:spacing w:val="38"/>
        </w:rPr>
        <w:t xml:space="preserve"> </w:t>
      </w:r>
      <w:r>
        <w:t>the</w:t>
      </w:r>
      <w:r>
        <w:rPr>
          <w:spacing w:val="37"/>
        </w:rPr>
        <w:t xml:space="preserve"> </w:t>
      </w:r>
      <w:r>
        <w:t>Policy. The</w:t>
      </w:r>
      <w:r>
        <w:rPr>
          <w:spacing w:val="40"/>
        </w:rPr>
        <w:t xml:space="preserve"> </w:t>
      </w:r>
      <w:r>
        <w:t>Protected Disclosures may be in relation to matters concerning the Co</w:t>
      </w:r>
      <w:r>
        <w:t>mpany.</w:t>
      </w:r>
    </w:p>
    <w:p w:rsidR="002626EC" w:rsidRDefault="00D52759">
      <w:pPr>
        <w:pStyle w:val="Heading1"/>
        <w:numPr>
          <w:ilvl w:val="0"/>
          <w:numId w:val="1"/>
        </w:numPr>
        <w:tabs>
          <w:tab w:val="left" w:pos="616"/>
        </w:tabs>
        <w:spacing w:before="249"/>
        <w:ind w:left="616" w:hanging="199"/>
      </w:pPr>
      <w:r>
        <w:rPr>
          <w:spacing w:val="-2"/>
        </w:rPr>
        <w:t>Disqualifications</w:t>
      </w:r>
    </w:p>
    <w:p w:rsidR="002626EC" w:rsidRDefault="00D52759">
      <w:pPr>
        <w:pStyle w:val="ListParagraph"/>
        <w:numPr>
          <w:ilvl w:val="1"/>
          <w:numId w:val="1"/>
        </w:numPr>
        <w:tabs>
          <w:tab w:val="left" w:pos="1138"/>
          <w:tab w:val="left" w:pos="1140"/>
        </w:tabs>
        <w:spacing w:before="160"/>
        <w:ind w:right="127"/>
        <w:jc w:val="both"/>
      </w:pPr>
      <w:r>
        <w:t>While it will be ensured that genuine Whistle Blowers are accorded complete</w:t>
      </w:r>
      <w:r>
        <w:rPr>
          <w:spacing w:val="40"/>
        </w:rPr>
        <w:t xml:space="preserve"> </w:t>
      </w:r>
      <w:r>
        <w:t>protection from any kind of unfair treatment as herein set out, any abuse of this protection will warrant disciplinary action.</w:t>
      </w:r>
    </w:p>
    <w:p w:rsidR="002626EC" w:rsidRDefault="00D52759">
      <w:pPr>
        <w:pStyle w:val="ListParagraph"/>
        <w:numPr>
          <w:ilvl w:val="1"/>
          <w:numId w:val="1"/>
        </w:numPr>
        <w:tabs>
          <w:tab w:val="left" w:pos="1138"/>
          <w:tab w:val="left" w:pos="1140"/>
        </w:tabs>
        <w:ind w:right="131"/>
        <w:jc w:val="both"/>
      </w:pPr>
      <w:r>
        <w:t xml:space="preserve">Protection under this Policy would not mean protection from disciplinary action arising out of false or bogus allegations made by a Whistle Blower knowing it to be false or bogus or with a </w:t>
      </w:r>
      <w:r>
        <w:rPr>
          <w:rFonts w:ascii="Arial"/>
          <w:i/>
        </w:rPr>
        <w:t xml:space="preserve">mala fide </w:t>
      </w:r>
      <w:r>
        <w:t>intention.</w:t>
      </w:r>
    </w:p>
    <w:p w:rsidR="002626EC" w:rsidRDefault="00D52759">
      <w:pPr>
        <w:pStyle w:val="ListParagraph"/>
        <w:numPr>
          <w:ilvl w:val="1"/>
          <w:numId w:val="1"/>
        </w:numPr>
        <w:tabs>
          <w:tab w:val="left" w:pos="1140"/>
        </w:tabs>
        <w:spacing w:before="2"/>
        <w:ind w:right="129"/>
        <w:jc w:val="both"/>
      </w:pPr>
      <w:r>
        <w:t>Whistle</w:t>
      </w:r>
      <w:r>
        <w:rPr>
          <w:spacing w:val="-3"/>
        </w:rPr>
        <w:t xml:space="preserve"> </w:t>
      </w:r>
      <w:r>
        <w:t>Blowers,</w:t>
      </w:r>
      <w:r>
        <w:rPr>
          <w:spacing w:val="-4"/>
        </w:rPr>
        <w:t xml:space="preserve"> </w:t>
      </w:r>
      <w:r>
        <w:t>who</w:t>
      </w:r>
      <w:r>
        <w:rPr>
          <w:spacing w:val="-1"/>
        </w:rPr>
        <w:t xml:space="preserve"> </w:t>
      </w:r>
      <w:r>
        <w:t>make</w:t>
      </w:r>
      <w:r>
        <w:rPr>
          <w:spacing w:val="-4"/>
        </w:rPr>
        <w:t xml:space="preserve"> </w:t>
      </w:r>
      <w:r>
        <w:t>any</w:t>
      </w:r>
      <w:r>
        <w:rPr>
          <w:spacing w:val="-7"/>
        </w:rPr>
        <w:t xml:space="preserve"> </w:t>
      </w:r>
      <w:r>
        <w:t>Protected</w:t>
      </w:r>
      <w:r>
        <w:rPr>
          <w:spacing w:val="-4"/>
        </w:rPr>
        <w:t xml:space="preserve"> </w:t>
      </w:r>
      <w:r>
        <w:t>Disclo</w:t>
      </w:r>
      <w:r>
        <w:t>sures,</w:t>
      </w:r>
      <w:r>
        <w:rPr>
          <w:spacing w:val="-2"/>
        </w:rPr>
        <w:t xml:space="preserve"> </w:t>
      </w:r>
      <w:r>
        <w:t>which</w:t>
      </w:r>
      <w:r>
        <w:rPr>
          <w:spacing w:val="-3"/>
        </w:rPr>
        <w:t xml:space="preserve"> </w:t>
      </w:r>
      <w:r>
        <w:t>have</w:t>
      </w:r>
      <w:r>
        <w:rPr>
          <w:spacing w:val="-4"/>
        </w:rPr>
        <w:t xml:space="preserve"> </w:t>
      </w:r>
      <w:r>
        <w:t>been</w:t>
      </w:r>
      <w:r>
        <w:rPr>
          <w:spacing w:val="-1"/>
        </w:rPr>
        <w:t xml:space="preserve"> </w:t>
      </w:r>
      <w:r>
        <w:t>subsequently found</w:t>
      </w:r>
      <w:r>
        <w:rPr>
          <w:spacing w:val="-1"/>
        </w:rPr>
        <w:t xml:space="preserve"> </w:t>
      </w:r>
      <w:r>
        <w:t xml:space="preserve">to be </w:t>
      </w:r>
      <w:r>
        <w:rPr>
          <w:rFonts w:ascii="Arial"/>
          <w:i/>
        </w:rPr>
        <w:t>mala</w:t>
      </w:r>
      <w:r>
        <w:rPr>
          <w:rFonts w:ascii="Arial"/>
          <w:i/>
          <w:spacing w:val="-16"/>
        </w:rPr>
        <w:t xml:space="preserve"> </w:t>
      </w:r>
      <w:r>
        <w:rPr>
          <w:rFonts w:ascii="Arial"/>
          <w:i/>
        </w:rPr>
        <w:t xml:space="preserve">fide </w:t>
      </w:r>
      <w:r>
        <w:t>or malicious or Whistle Blowers who make 3 or more Protected Disclosures,</w:t>
      </w:r>
      <w:r>
        <w:rPr>
          <w:spacing w:val="-3"/>
        </w:rPr>
        <w:t xml:space="preserve"> </w:t>
      </w:r>
      <w:r>
        <w:t>which</w:t>
      </w:r>
      <w:r>
        <w:rPr>
          <w:spacing w:val="-3"/>
        </w:rPr>
        <w:t xml:space="preserve"> </w:t>
      </w:r>
      <w:r>
        <w:t>have</w:t>
      </w:r>
      <w:r>
        <w:rPr>
          <w:spacing w:val="-1"/>
        </w:rPr>
        <w:t xml:space="preserve"> </w:t>
      </w:r>
      <w:r>
        <w:t>been</w:t>
      </w:r>
      <w:r>
        <w:rPr>
          <w:spacing w:val="-3"/>
        </w:rPr>
        <w:t xml:space="preserve"> </w:t>
      </w:r>
      <w:r>
        <w:t>subsequently</w:t>
      </w:r>
      <w:r>
        <w:rPr>
          <w:spacing w:val="-4"/>
        </w:rPr>
        <w:t xml:space="preserve"> </w:t>
      </w:r>
      <w:r>
        <w:t>found</w:t>
      </w:r>
      <w:r>
        <w:rPr>
          <w:spacing w:val="-3"/>
        </w:rPr>
        <w:t xml:space="preserve"> </w:t>
      </w:r>
      <w:r>
        <w:t>to</w:t>
      </w:r>
      <w:r>
        <w:rPr>
          <w:spacing w:val="-3"/>
        </w:rPr>
        <w:t xml:space="preserve"> </w:t>
      </w:r>
      <w:r>
        <w:t>be</w:t>
      </w:r>
      <w:r>
        <w:rPr>
          <w:spacing w:val="-5"/>
        </w:rPr>
        <w:t xml:space="preserve"> </w:t>
      </w:r>
      <w:r>
        <w:t>frivolous,</w:t>
      </w:r>
      <w:r>
        <w:rPr>
          <w:spacing w:val="-2"/>
        </w:rPr>
        <w:t xml:space="preserve"> </w:t>
      </w:r>
      <w:r>
        <w:t>baseless</w:t>
      </w:r>
      <w:r>
        <w:rPr>
          <w:spacing w:val="-3"/>
        </w:rPr>
        <w:t xml:space="preserve"> </w:t>
      </w:r>
      <w:r>
        <w:t>or</w:t>
      </w:r>
      <w:r>
        <w:rPr>
          <w:spacing w:val="-3"/>
        </w:rPr>
        <w:t xml:space="preserve"> </w:t>
      </w:r>
      <w:r>
        <w:t>reported otherwise than in good faith, will be disqualified from reporting further Protected Disclosures under this Policy.</w:t>
      </w:r>
    </w:p>
    <w:p w:rsidR="002626EC" w:rsidRDefault="002626EC">
      <w:pPr>
        <w:pStyle w:val="BodyText"/>
        <w:spacing w:before="3"/>
        <w:jc w:val="left"/>
      </w:pPr>
    </w:p>
    <w:p w:rsidR="002626EC" w:rsidRDefault="00D52759">
      <w:pPr>
        <w:pStyle w:val="Heading1"/>
        <w:numPr>
          <w:ilvl w:val="0"/>
          <w:numId w:val="1"/>
        </w:numPr>
        <w:tabs>
          <w:tab w:val="left" w:pos="616"/>
        </w:tabs>
        <w:ind w:left="616" w:hanging="199"/>
      </w:pPr>
      <w:r>
        <w:rPr>
          <w:spacing w:val="-2"/>
        </w:rPr>
        <w:t>Procedure</w:t>
      </w:r>
    </w:p>
    <w:p w:rsidR="002626EC" w:rsidRDefault="00D52759">
      <w:pPr>
        <w:pStyle w:val="ListParagraph"/>
        <w:numPr>
          <w:ilvl w:val="1"/>
          <w:numId w:val="1"/>
        </w:numPr>
        <w:tabs>
          <w:tab w:val="left" w:pos="1138"/>
          <w:tab w:val="left" w:pos="1140"/>
        </w:tabs>
        <w:spacing w:before="158"/>
        <w:ind w:right="138"/>
        <w:jc w:val="both"/>
      </w:pPr>
      <w:r>
        <w:t>All Protected Disclosures concerning financial/accounting matters should be</w:t>
      </w:r>
      <w:r>
        <w:rPr>
          <w:spacing w:val="40"/>
        </w:rPr>
        <w:t xml:space="preserve"> </w:t>
      </w:r>
      <w:r>
        <w:t xml:space="preserve">addressed to the </w:t>
      </w:r>
      <w:proofErr w:type="spellStart"/>
      <w:r>
        <w:t>Chairmanof</w:t>
      </w:r>
      <w:proofErr w:type="spellEnd"/>
      <w:r>
        <w:t xml:space="preserve"> the Audit Committ</w:t>
      </w:r>
      <w:r>
        <w:t>ee of the Company for investigation.</w:t>
      </w:r>
    </w:p>
    <w:p w:rsidR="002626EC" w:rsidRDefault="00D52759">
      <w:pPr>
        <w:pStyle w:val="ListParagraph"/>
        <w:numPr>
          <w:ilvl w:val="1"/>
          <w:numId w:val="1"/>
        </w:numPr>
        <w:tabs>
          <w:tab w:val="left" w:pos="1138"/>
          <w:tab w:val="left" w:pos="1140"/>
        </w:tabs>
        <w:ind w:right="131"/>
        <w:jc w:val="both"/>
      </w:pPr>
      <w:r>
        <w:t>Protected Disclosures should be reported in writing so as to ensure a clear understanding of the issues raised and should either be typed or written in a legible handwriting in English, Hindi or Gujarati.</w:t>
      </w:r>
    </w:p>
    <w:p w:rsidR="002626EC" w:rsidRDefault="00D52759">
      <w:pPr>
        <w:pStyle w:val="ListParagraph"/>
        <w:numPr>
          <w:ilvl w:val="1"/>
          <w:numId w:val="1"/>
        </w:numPr>
        <w:tabs>
          <w:tab w:val="left" w:pos="1140"/>
        </w:tabs>
        <w:ind w:right="129"/>
        <w:jc w:val="both"/>
      </w:pPr>
      <w:r>
        <w:t>The</w:t>
      </w:r>
      <w:r>
        <w:rPr>
          <w:spacing w:val="-1"/>
        </w:rPr>
        <w:t xml:space="preserve"> </w:t>
      </w:r>
      <w:r>
        <w:t>Protected</w:t>
      </w:r>
      <w:r>
        <w:rPr>
          <w:spacing w:val="-1"/>
        </w:rPr>
        <w:t xml:space="preserve"> </w:t>
      </w:r>
      <w:r>
        <w:t>Disclosure</w:t>
      </w:r>
      <w:r>
        <w:rPr>
          <w:spacing w:val="-2"/>
        </w:rPr>
        <w:t xml:space="preserve"> </w:t>
      </w:r>
      <w:r>
        <w:t>should</w:t>
      </w:r>
      <w:r>
        <w:rPr>
          <w:spacing w:val="-1"/>
        </w:rPr>
        <w:t xml:space="preserve"> </w:t>
      </w:r>
      <w:r>
        <w:t>be</w:t>
      </w:r>
      <w:r>
        <w:rPr>
          <w:spacing w:val="-3"/>
        </w:rPr>
        <w:t xml:space="preserve"> </w:t>
      </w:r>
      <w:r>
        <w:t>forwarded under a covering letter</w:t>
      </w:r>
      <w:r>
        <w:rPr>
          <w:spacing w:val="-1"/>
        </w:rPr>
        <w:t xml:space="preserve"> </w:t>
      </w:r>
      <w:r>
        <w:t>which</w:t>
      </w:r>
      <w:r>
        <w:rPr>
          <w:spacing w:val="-2"/>
        </w:rPr>
        <w:t xml:space="preserve"> </w:t>
      </w:r>
      <w:r>
        <w:t>shall</w:t>
      </w:r>
      <w:r>
        <w:rPr>
          <w:spacing w:val="-1"/>
        </w:rPr>
        <w:t xml:space="preserve"> </w:t>
      </w:r>
      <w:r>
        <w:t xml:space="preserve">bear the identity of the Whistle Blower. The Chairman of the Audit Committee shall detach the covering letter and forward only the Protected Disclosure to the Investigators for </w:t>
      </w:r>
      <w:r>
        <w:rPr>
          <w:spacing w:val="-2"/>
        </w:rPr>
        <w:t>investigatio</w:t>
      </w:r>
      <w:r>
        <w:rPr>
          <w:spacing w:val="-2"/>
        </w:rPr>
        <w:t>n.</w:t>
      </w:r>
    </w:p>
    <w:p w:rsidR="002626EC" w:rsidRDefault="00D52759">
      <w:pPr>
        <w:pStyle w:val="ListParagraph"/>
        <w:numPr>
          <w:ilvl w:val="1"/>
          <w:numId w:val="1"/>
        </w:numPr>
        <w:tabs>
          <w:tab w:val="left" w:pos="1138"/>
          <w:tab w:val="left" w:pos="1140"/>
        </w:tabs>
        <w:spacing w:before="1"/>
        <w:ind w:right="127"/>
        <w:jc w:val="both"/>
      </w:pPr>
      <w:r>
        <w:t>Protected Disclosures should be factual and not speculative or in the nature of a conclusion, and should</w:t>
      </w:r>
      <w:r>
        <w:rPr>
          <w:spacing w:val="-16"/>
        </w:rPr>
        <w:t xml:space="preserve"> </w:t>
      </w:r>
      <w:r>
        <w:t>contain as much specific information as possible to allow for proper assessment of the nature and extent of the concern.</w:t>
      </w:r>
    </w:p>
    <w:p w:rsidR="002626EC" w:rsidRDefault="002626EC">
      <w:pPr>
        <w:pStyle w:val="ListParagraph"/>
        <w:sectPr w:rsidR="002626EC">
          <w:pgSz w:w="12240" w:h="15840"/>
          <w:pgMar w:top="1180" w:right="1440" w:bottom="280" w:left="1080" w:header="720" w:footer="720" w:gutter="0"/>
          <w:cols w:space="720"/>
        </w:sectPr>
      </w:pPr>
    </w:p>
    <w:p w:rsidR="002626EC" w:rsidRDefault="00D52759">
      <w:pPr>
        <w:pStyle w:val="Heading1"/>
        <w:numPr>
          <w:ilvl w:val="0"/>
          <w:numId w:val="1"/>
        </w:numPr>
        <w:tabs>
          <w:tab w:val="left" w:pos="616"/>
        </w:tabs>
        <w:spacing w:before="68"/>
        <w:ind w:left="616" w:hanging="199"/>
      </w:pPr>
      <w:r>
        <w:rPr>
          <w:spacing w:val="-2"/>
        </w:rPr>
        <w:lastRenderedPageBreak/>
        <w:t>Investigation</w:t>
      </w:r>
    </w:p>
    <w:p w:rsidR="002626EC" w:rsidRDefault="00D52759">
      <w:pPr>
        <w:pStyle w:val="BodyText"/>
        <w:spacing w:before="155"/>
        <w:ind w:left="420" w:right="128"/>
      </w:pPr>
      <w:r>
        <w:t>All Protected Disclosures reported under this Policy will be thoroughly investigated by the Chairman of the Audit Committee of the Company who will investigate / oversee the investigations under the authorization of the Audit Committee.</w:t>
      </w:r>
    </w:p>
    <w:p w:rsidR="002626EC" w:rsidRDefault="002626EC">
      <w:pPr>
        <w:pStyle w:val="BodyText"/>
        <w:spacing w:before="159"/>
        <w:jc w:val="left"/>
      </w:pPr>
    </w:p>
    <w:p w:rsidR="002626EC" w:rsidRDefault="00D52759">
      <w:pPr>
        <w:pStyle w:val="ListParagraph"/>
        <w:numPr>
          <w:ilvl w:val="1"/>
          <w:numId w:val="1"/>
        </w:numPr>
        <w:tabs>
          <w:tab w:val="left" w:pos="1138"/>
          <w:tab w:val="left" w:pos="1140"/>
        </w:tabs>
        <w:ind w:right="130"/>
        <w:jc w:val="both"/>
      </w:pPr>
      <w:r>
        <w:t>The decision to co</w:t>
      </w:r>
      <w:r>
        <w:t>nduct an investigation taken by the Chairman of the Audit</w:t>
      </w:r>
      <w:r>
        <w:rPr>
          <w:spacing w:val="40"/>
        </w:rPr>
        <w:t xml:space="preserve"> </w:t>
      </w:r>
      <w:r>
        <w:t>Committee is by itself not an accusation and is to be treated as a neutral fact-finding process. The outcome of the investigation may not support the conclusion of the Whistle Blower that an imprope</w:t>
      </w:r>
      <w:r>
        <w:t>r or unethical act was committed.</w:t>
      </w:r>
    </w:p>
    <w:p w:rsidR="002626EC" w:rsidRDefault="00D52759">
      <w:pPr>
        <w:pStyle w:val="ListParagraph"/>
        <w:numPr>
          <w:ilvl w:val="1"/>
          <w:numId w:val="1"/>
        </w:numPr>
        <w:tabs>
          <w:tab w:val="left" w:pos="1138"/>
          <w:tab w:val="left" w:pos="1140"/>
        </w:tabs>
        <w:spacing w:before="1"/>
        <w:ind w:right="130"/>
        <w:jc w:val="both"/>
      </w:pPr>
      <w:r>
        <w:t>Subjects will normally be informed of the allegations at the outset of a formal investigation and have opportunities for providing their inputs during the investigation.</w:t>
      </w:r>
    </w:p>
    <w:p w:rsidR="002626EC" w:rsidRDefault="00D52759">
      <w:pPr>
        <w:pStyle w:val="ListParagraph"/>
        <w:numPr>
          <w:ilvl w:val="1"/>
          <w:numId w:val="1"/>
        </w:numPr>
        <w:tabs>
          <w:tab w:val="left" w:pos="1140"/>
        </w:tabs>
        <w:ind w:right="133"/>
        <w:jc w:val="both"/>
      </w:pPr>
      <w:r>
        <w:t>Subjects shall have a duty to co-operate with the Ch</w:t>
      </w:r>
      <w:r>
        <w:t>airman of the Audit Committee or any of the Investigators during investigation to the extent that such co-operation will</w:t>
      </w:r>
      <w:r>
        <w:rPr>
          <w:spacing w:val="40"/>
        </w:rPr>
        <w:t xml:space="preserve"> </w:t>
      </w:r>
      <w:r>
        <w:t>not compromise self-incrimination protections available under the applicable laws. .</w:t>
      </w:r>
    </w:p>
    <w:p w:rsidR="002626EC" w:rsidRDefault="00D52759">
      <w:pPr>
        <w:pStyle w:val="ListParagraph"/>
        <w:numPr>
          <w:ilvl w:val="1"/>
          <w:numId w:val="1"/>
        </w:numPr>
        <w:tabs>
          <w:tab w:val="left" w:pos="1138"/>
          <w:tab w:val="left" w:pos="1140"/>
        </w:tabs>
        <w:spacing w:line="230" w:lineRule="auto"/>
        <w:ind w:right="23"/>
        <w:jc w:val="both"/>
      </w:pPr>
      <w:r>
        <w:t>Subjects</w:t>
      </w:r>
      <w:r>
        <w:rPr>
          <w:spacing w:val="40"/>
        </w:rPr>
        <w:t xml:space="preserve"> </w:t>
      </w:r>
      <w:r>
        <w:t>have</w:t>
      </w:r>
      <w:r>
        <w:rPr>
          <w:spacing w:val="40"/>
        </w:rPr>
        <w:t xml:space="preserve"> </w:t>
      </w:r>
      <w:r>
        <w:t>a</w:t>
      </w:r>
      <w:r>
        <w:rPr>
          <w:spacing w:val="40"/>
        </w:rPr>
        <w:t xml:space="preserve"> </w:t>
      </w:r>
      <w:r>
        <w:t>responsibility</w:t>
      </w:r>
      <w:r>
        <w:rPr>
          <w:spacing w:val="40"/>
        </w:rPr>
        <w:t xml:space="preserve"> </w:t>
      </w:r>
      <w:r>
        <w:t>not</w:t>
      </w:r>
      <w:r>
        <w:rPr>
          <w:spacing w:val="40"/>
        </w:rPr>
        <w:t xml:space="preserve"> </w:t>
      </w:r>
      <w:r>
        <w:t>to</w:t>
      </w:r>
      <w:r>
        <w:rPr>
          <w:spacing w:val="40"/>
        </w:rPr>
        <w:t xml:space="preserve"> </w:t>
      </w:r>
      <w:r>
        <w:t>interfere</w:t>
      </w:r>
      <w:r>
        <w:rPr>
          <w:spacing w:val="40"/>
        </w:rPr>
        <w:t xml:space="preserve"> </w:t>
      </w:r>
      <w:r>
        <w:t>with</w:t>
      </w:r>
      <w:r>
        <w:rPr>
          <w:spacing w:val="40"/>
        </w:rPr>
        <w:t xml:space="preserve"> </w:t>
      </w:r>
      <w:r>
        <w:t>the</w:t>
      </w:r>
      <w:r>
        <w:rPr>
          <w:spacing w:val="40"/>
        </w:rPr>
        <w:t xml:space="preserve"> </w:t>
      </w:r>
      <w:r>
        <w:t>investigation.</w:t>
      </w:r>
      <w:r>
        <w:rPr>
          <w:spacing w:val="40"/>
        </w:rPr>
        <w:t xml:space="preserve"> </w:t>
      </w:r>
      <w:r>
        <w:t>Evidence</w:t>
      </w:r>
      <w:r>
        <w:rPr>
          <w:spacing w:val="40"/>
        </w:rPr>
        <w:t xml:space="preserve"> </w:t>
      </w:r>
      <w:r>
        <w:t>shall not be withheld, destroyed or tampered with, and witnesses shall not be influenced, coached, threatened or intimidated by the Subjects.</w:t>
      </w:r>
    </w:p>
    <w:p w:rsidR="002626EC" w:rsidRDefault="00D52759">
      <w:pPr>
        <w:pStyle w:val="ListParagraph"/>
        <w:numPr>
          <w:ilvl w:val="1"/>
          <w:numId w:val="1"/>
        </w:numPr>
        <w:tabs>
          <w:tab w:val="left" w:pos="1138"/>
          <w:tab w:val="left" w:pos="1140"/>
        </w:tabs>
        <w:spacing w:before="3"/>
        <w:ind w:right="131"/>
        <w:jc w:val="both"/>
      </w:pPr>
      <w:r>
        <w:t>Unless there are compelling reasons not to do so, Subjects will be given the oppo</w:t>
      </w:r>
      <w:r>
        <w:t>rtunity to respond to material findings contained in an investigation report. No allegation of wrongdoing against a Subject shall</w:t>
      </w:r>
      <w:r>
        <w:rPr>
          <w:spacing w:val="-2"/>
        </w:rPr>
        <w:t xml:space="preserve"> </w:t>
      </w:r>
      <w:r>
        <w:t>be considered as</w:t>
      </w:r>
      <w:r>
        <w:rPr>
          <w:spacing w:val="-2"/>
        </w:rPr>
        <w:t xml:space="preserve"> </w:t>
      </w:r>
      <w:r>
        <w:t>maintainable</w:t>
      </w:r>
      <w:r>
        <w:rPr>
          <w:spacing w:val="-1"/>
        </w:rPr>
        <w:t xml:space="preserve"> </w:t>
      </w:r>
      <w:r>
        <w:t>unless there is good evidence in support of the allegation.</w:t>
      </w:r>
    </w:p>
    <w:p w:rsidR="002626EC" w:rsidRDefault="00D52759">
      <w:pPr>
        <w:pStyle w:val="ListParagraph"/>
        <w:numPr>
          <w:ilvl w:val="1"/>
          <w:numId w:val="1"/>
        </w:numPr>
        <w:tabs>
          <w:tab w:val="left" w:pos="1140"/>
        </w:tabs>
        <w:spacing w:line="230" w:lineRule="auto"/>
        <w:ind w:right="21"/>
        <w:jc w:val="both"/>
      </w:pPr>
      <w:r>
        <w:t>The investigation shall be completed</w:t>
      </w:r>
      <w:r>
        <w:t xml:space="preserve"> normally within 45 days of the receipt of the Protected Disclosure.</w:t>
      </w:r>
    </w:p>
    <w:p w:rsidR="002626EC" w:rsidRDefault="002626EC">
      <w:pPr>
        <w:pStyle w:val="BodyText"/>
        <w:spacing w:before="6"/>
        <w:jc w:val="left"/>
      </w:pPr>
    </w:p>
    <w:p w:rsidR="002626EC" w:rsidRDefault="00D52759">
      <w:pPr>
        <w:pStyle w:val="Heading1"/>
        <w:numPr>
          <w:ilvl w:val="0"/>
          <w:numId w:val="1"/>
        </w:numPr>
        <w:tabs>
          <w:tab w:val="left" w:pos="616"/>
        </w:tabs>
        <w:ind w:left="616" w:hanging="199"/>
      </w:pPr>
      <w:r>
        <w:rPr>
          <w:spacing w:val="-2"/>
        </w:rPr>
        <w:t>Protection</w:t>
      </w:r>
    </w:p>
    <w:p w:rsidR="002626EC" w:rsidRDefault="002626EC">
      <w:pPr>
        <w:pStyle w:val="BodyText"/>
        <w:spacing w:before="8"/>
        <w:jc w:val="left"/>
        <w:rPr>
          <w:rFonts w:ascii="Arial"/>
          <w:b/>
        </w:rPr>
      </w:pPr>
    </w:p>
    <w:p w:rsidR="002626EC" w:rsidRDefault="00D52759">
      <w:pPr>
        <w:pStyle w:val="ListParagraph"/>
        <w:numPr>
          <w:ilvl w:val="1"/>
          <w:numId w:val="1"/>
        </w:numPr>
        <w:tabs>
          <w:tab w:val="left" w:pos="1018"/>
          <w:tab w:val="left" w:pos="1020"/>
        </w:tabs>
        <w:spacing w:line="271" w:lineRule="auto"/>
        <w:ind w:left="1020" w:right="130"/>
        <w:jc w:val="both"/>
      </w:pPr>
      <w:r>
        <w:t>No unfair treatment will be meted out to a Whistle Blower by virtue of his/her having reported a Protected Disclosure under this Policy. The Company, as a policy,</w:t>
      </w:r>
      <w:r>
        <w:rPr>
          <w:spacing w:val="40"/>
        </w:rPr>
        <w:t xml:space="preserve"> </w:t>
      </w:r>
      <w:r>
        <w:t>condemns any kind of discrimination, harassment, victimization or any other unfair employment practice being adopted against Whistle Blowers. Complete protection will, therefore, be given to Whistle Blowers against any unfair practice like retaliation, thr</w:t>
      </w:r>
      <w:r>
        <w:t>eat or intimidation of termination/suspension of service, disciplinary action, transfer, demotion, refusal of promotion, or the like including any direct or indirect use of</w:t>
      </w:r>
      <w:r>
        <w:rPr>
          <w:spacing w:val="40"/>
        </w:rPr>
        <w:t xml:space="preserve"> </w:t>
      </w:r>
      <w:r>
        <w:t>authority to obstruct the Whistle Blower’s right to continue to perform his</w:t>
      </w:r>
      <w:r>
        <w:rPr>
          <w:spacing w:val="40"/>
        </w:rPr>
        <w:t xml:space="preserve"> </w:t>
      </w:r>
      <w:r>
        <w:t>duties/</w:t>
      </w:r>
      <w:r>
        <w:t xml:space="preserve">functions including making further Protected Disclosure. The Company will take steps to minimize difficulties, which the Whistle Blower may experience as a result of making the Protected Disclosure. Thus, if the Whistle Blower is required to give evidence </w:t>
      </w:r>
      <w:r>
        <w:t>in criminal or disciplinary proceedings, the Company will arrange for the Whistle Blower to receive advice about the procedure, etc.</w:t>
      </w:r>
    </w:p>
    <w:p w:rsidR="002626EC" w:rsidRDefault="00D52759">
      <w:pPr>
        <w:pStyle w:val="ListParagraph"/>
        <w:numPr>
          <w:ilvl w:val="1"/>
          <w:numId w:val="1"/>
        </w:numPr>
        <w:tabs>
          <w:tab w:val="left" w:pos="1018"/>
          <w:tab w:val="left" w:pos="1020"/>
        </w:tabs>
        <w:spacing w:line="201" w:lineRule="auto"/>
        <w:ind w:left="1020" w:right="19"/>
        <w:jc w:val="both"/>
      </w:pPr>
      <w:r>
        <w:t>A Whistle Blower may report any violation of the above clause to the Chairman of the Audit Committee, who shall investigate</w:t>
      </w:r>
      <w:r>
        <w:t xml:space="preserve"> into the same and recommend suitable action to the management.</w:t>
      </w:r>
    </w:p>
    <w:p w:rsidR="002626EC" w:rsidRDefault="00D52759">
      <w:pPr>
        <w:pStyle w:val="ListParagraph"/>
        <w:numPr>
          <w:ilvl w:val="1"/>
          <w:numId w:val="1"/>
        </w:numPr>
        <w:tabs>
          <w:tab w:val="left" w:pos="1020"/>
        </w:tabs>
        <w:ind w:left="1020" w:right="134"/>
        <w:jc w:val="both"/>
      </w:pPr>
      <w:r>
        <w:t>Any other Employee assisting in the said investigation shall also be protected to the same extent as the Whistle Blower.</w:t>
      </w:r>
    </w:p>
    <w:p w:rsidR="002626EC" w:rsidRDefault="002626EC">
      <w:pPr>
        <w:pStyle w:val="BodyText"/>
        <w:spacing w:before="2"/>
        <w:jc w:val="left"/>
      </w:pPr>
    </w:p>
    <w:p w:rsidR="002626EC" w:rsidRDefault="00D52759">
      <w:pPr>
        <w:pStyle w:val="Heading1"/>
        <w:numPr>
          <w:ilvl w:val="0"/>
          <w:numId w:val="1"/>
        </w:numPr>
        <w:tabs>
          <w:tab w:val="left" w:pos="616"/>
        </w:tabs>
        <w:ind w:left="616" w:hanging="197"/>
      </w:pPr>
      <w:r>
        <w:rPr>
          <w:spacing w:val="-2"/>
        </w:rPr>
        <w:t>Investigators</w:t>
      </w:r>
    </w:p>
    <w:p w:rsidR="002626EC" w:rsidRDefault="002626EC">
      <w:pPr>
        <w:pStyle w:val="BodyText"/>
        <w:spacing w:before="7"/>
        <w:jc w:val="left"/>
        <w:rPr>
          <w:rFonts w:ascii="Arial"/>
          <w:b/>
        </w:rPr>
      </w:pPr>
    </w:p>
    <w:p w:rsidR="002626EC" w:rsidRDefault="00D52759">
      <w:pPr>
        <w:pStyle w:val="ListParagraph"/>
        <w:numPr>
          <w:ilvl w:val="1"/>
          <w:numId w:val="1"/>
        </w:numPr>
        <w:tabs>
          <w:tab w:val="left" w:pos="1138"/>
          <w:tab w:val="left" w:pos="1140"/>
        </w:tabs>
        <w:ind w:right="131"/>
        <w:jc w:val="both"/>
      </w:pPr>
      <w:r>
        <w:t>Investigators are required to conduct a process towards</w:t>
      </w:r>
      <w:r>
        <w:t xml:space="preserve"> fact-finding and analysis. Investigators shall derive their authority and access rights from the Audit Committee when acting within the course and scope of their investigation.</w:t>
      </w:r>
    </w:p>
    <w:p w:rsidR="002626EC" w:rsidRDefault="00D52759">
      <w:pPr>
        <w:pStyle w:val="ListParagraph"/>
        <w:numPr>
          <w:ilvl w:val="1"/>
          <w:numId w:val="1"/>
        </w:numPr>
        <w:tabs>
          <w:tab w:val="left" w:pos="1138"/>
          <w:tab w:val="left" w:pos="1140"/>
        </w:tabs>
        <w:ind w:right="130"/>
        <w:jc w:val="both"/>
      </w:pPr>
      <w:r>
        <w:t>Technical and other resources may be drawn upon as necessary to augment the in</w:t>
      </w:r>
      <w:r>
        <w:t>vestigation. All Investigators shall be independent and unbiased both in fact and as perceived. Investigators have a duty of fairness, objectivity, thoroughness, ethical behavior, and observance of legal and professional standards.</w:t>
      </w:r>
    </w:p>
    <w:p w:rsidR="002626EC" w:rsidRDefault="002626EC">
      <w:pPr>
        <w:pStyle w:val="ListParagraph"/>
        <w:sectPr w:rsidR="002626EC">
          <w:pgSz w:w="12240" w:h="15840"/>
          <w:pgMar w:top="820" w:right="1440" w:bottom="280" w:left="1080" w:header="720" w:footer="720" w:gutter="0"/>
          <w:cols w:space="720"/>
        </w:sectPr>
      </w:pPr>
    </w:p>
    <w:p w:rsidR="002626EC" w:rsidRDefault="00D52759">
      <w:pPr>
        <w:pStyle w:val="Heading1"/>
        <w:numPr>
          <w:ilvl w:val="0"/>
          <w:numId w:val="1"/>
        </w:numPr>
        <w:tabs>
          <w:tab w:val="left" w:pos="616"/>
        </w:tabs>
        <w:spacing w:before="68"/>
        <w:ind w:left="616" w:hanging="199"/>
        <w:jc w:val="both"/>
      </w:pPr>
      <w:r>
        <w:rPr>
          <w:spacing w:val="-2"/>
        </w:rPr>
        <w:lastRenderedPageBreak/>
        <w:t>Decision</w:t>
      </w:r>
    </w:p>
    <w:p w:rsidR="002626EC" w:rsidRDefault="002626EC">
      <w:pPr>
        <w:pStyle w:val="BodyText"/>
        <w:spacing w:before="7"/>
        <w:jc w:val="left"/>
        <w:rPr>
          <w:rFonts w:ascii="Arial"/>
          <w:b/>
        </w:rPr>
      </w:pPr>
    </w:p>
    <w:p w:rsidR="002626EC" w:rsidRDefault="00D52759">
      <w:pPr>
        <w:pStyle w:val="BodyText"/>
        <w:spacing w:line="271" w:lineRule="auto"/>
        <w:ind w:left="300" w:right="128"/>
      </w:pPr>
      <w:r>
        <w:t>If an investigation leads the Chairman of the Audit Committee to conclude that an improper or unethical act has been committed, the Chairman of the Audit Committee shall recommend to the</w:t>
      </w:r>
      <w:r>
        <w:rPr>
          <w:spacing w:val="40"/>
        </w:rPr>
        <w:t xml:space="preserve"> </w:t>
      </w:r>
      <w:r>
        <w:t>management</w:t>
      </w:r>
      <w:r>
        <w:rPr>
          <w:spacing w:val="40"/>
        </w:rPr>
        <w:t xml:space="preserve"> </w:t>
      </w:r>
      <w:r>
        <w:t>of</w:t>
      </w:r>
      <w:r>
        <w:rPr>
          <w:spacing w:val="40"/>
        </w:rPr>
        <w:t xml:space="preserve"> </w:t>
      </w:r>
      <w:r>
        <w:t>the</w:t>
      </w:r>
      <w:r>
        <w:rPr>
          <w:spacing w:val="40"/>
        </w:rPr>
        <w:t xml:space="preserve"> </w:t>
      </w:r>
      <w:r>
        <w:t>Company to take such disciplinary or corrective act</w:t>
      </w:r>
      <w:r>
        <w:t>ion as the Chairman of the Audit Committee may deem fit. It is clarified that any disciplinary or corrective action initiated against the Subject as a result of the findings of</w:t>
      </w:r>
      <w:r>
        <w:rPr>
          <w:spacing w:val="40"/>
        </w:rPr>
        <w:t xml:space="preserve"> </w:t>
      </w:r>
      <w:r>
        <w:t>an investigation pursuant to</w:t>
      </w:r>
      <w:r>
        <w:rPr>
          <w:spacing w:val="80"/>
        </w:rPr>
        <w:t xml:space="preserve"> </w:t>
      </w:r>
      <w:r>
        <w:t>this Policy shall adhere to the applicable personn</w:t>
      </w:r>
      <w:r>
        <w:t>el or staff conduct and disciplinary</w:t>
      </w:r>
      <w:r>
        <w:rPr>
          <w:spacing w:val="80"/>
        </w:rPr>
        <w:t xml:space="preserve"> </w:t>
      </w:r>
      <w:r>
        <w:rPr>
          <w:spacing w:val="-2"/>
        </w:rPr>
        <w:t>procedures.</w:t>
      </w:r>
    </w:p>
    <w:p w:rsidR="002626EC" w:rsidRDefault="002626EC">
      <w:pPr>
        <w:pStyle w:val="BodyText"/>
        <w:jc w:val="left"/>
      </w:pPr>
    </w:p>
    <w:p w:rsidR="002626EC" w:rsidRDefault="00D52759">
      <w:pPr>
        <w:pStyle w:val="Heading1"/>
        <w:numPr>
          <w:ilvl w:val="0"/>
          <w:numId w:val="1"/>
        </w:numPr>
        <w:tabs>
          <w:tab w:val="left" w:pos="616"/>
        </w:tabs>
        <w:ind w:left="616" w:hanging="199"/>
        <w:jc w:val="both"/>
      </w:pPr>
      <w:r>
        <w:t>Retention</w:t>
      </w:r>
      <w:r>
        <w:rPr>
          <w:spacing w:val="-5"/>
        </w:rPr>
        <w:t xml:space="preserve"> </w:t>
      </w:r>
      <w:r>
        <w:t>of</w:t>
      </w:r>
      <w:r>
        <w:rPr>
          <w:spacing w:val="-3"/>
        </w:rPr>
        <w:t xml:space="preserve"> </w:t>
      </w:r>
      <w:r>
        <w:rPr>
          <w:spacing w:val="-2"/>
        </w:rPr>
        <w:t>documents</w:t>
      </w:r>
    </w:p>
    <w:p w:rsidR="002626EC" w:rsidRDefault="002626EC">
      <w:pPr>
        <w:pStyle w:val="BodyText"/>
        <w:spacing w:before="10"/>
        <w:jc w:val="left"/>
        <w:rPr>
          <w:rFonts w:ascii="Arial"/>
          <w:b/>
        </w:rPr>
      </w:pPr>
    </w:p>
    <w:p w:rsidR="002626EC" w:rsidRDefault="00D52759">
      <w:pPr>
        <w:pStyle w:val="BodyText"/>
        <w:spacing w:line="266" w:lineRule="auto"/>
        <w:ind w:left="300" w:right="135"/>
      </w:pPr>
      <w:r>
        <w:t>All Protected Disclosures in writing or documented along with the results of investigation relating thereto shall be retained by the Company for a minimum period of seven years.</w:t>
      </w:r>
    </w:p>
    <w:sectPr w:rsidR="002626EC">
      <w:pgSz w:w="12240" w:h="15840"/>
      <w:pgMar w:top="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A286E"/>
    <w:multiLevelType w:val="hybridMultilevel"/>
    <w:tmpl w:val="98F0D188"/>
    <w:lvl w:ilvl="0" w:tplc="E5F48802">
      <w:start w:val="1"/>
      <w:numFmt w:val="decimal"/>
      <w:lvlText w:val="%1."/>
      <w:lvlJc w:val="left"/>
      <w:pPr>
        <w:ind w:left="619" w:hanging="202"/>
        <w:jc w:val="left"/>
      </w:pPr>
      <w:rPr>
        <w:rFonts w:ascii="Arial" w:eastAsia="Arial" w:hAnsi="Arial" w:cs="Arial" w:hint="default"/>
        <w:b/>
        <w:bCs/>
        <w:i w:val="0"/>
        <w:iCs w:val="0"/>
        <w:spacing w:val="0"/>
        <w:w w:val="96"/>
        <w:sz w:val="22"/>
        <w:szCs w:val="22"/>
        <w:lang w:val="en-US" w:eastAsia="en-US" w:bidi="ar-SA"/>
      </w:rPr>
    </w:lvl>
    <w:lvl w:ilvl="1" w:tplc="4CDC1ACE">
      <w:start w:val="1"/>
      <w:numFmt w:val="lowerLetter"/>
      <w:lvlText w:val="%2."/>
      <w:lvlJc w:val="left"/>
      <w:pPr>
        <w:ind w:left="1140" w:hanging="360"/>
        <w:jc w:val="left"/>
      </w:pPr>
      <w:rPr>
        <w:rFonts w:ascii="Arial MT" w:eastAsia="Arial MT" w:hAnsi="Arial MT" w:cs="Arial MT" w:hint="default"/>
        <w:b w:val="0"/>
        <w:bCs w:val="0"/>
        <w:i w:val="0"/>
        <w:iCs w:val="0"/>
        <w:spacing w:val="-2"/>
        <w:w w:val="98"/>
        <w:sz w:val="22"/>
        <w:szCs w:val="22"/>
        <w:lang w:val="en-US" w:eastAsia="en-US" w:bidi="ar-SA"/>
      </w:rPr>
    </w:lvl>
    <w:lvl w:ilvl="2" w:tplc="D422D59C">
      <w:numFmt w:val="bullet"/>
      <w:lvlText w:val="•"/>
      <w:lvlJc w:val="left"/>
      <w:pPr>
        <w:ind w:left="1140" w:hanging="360"/>
      </w:pPr>
      <w:rPr>
        <w:rFonts w:hint="default"/>
        <w:lang w:val="en-US" w:eastAsia="en-US" w:bidi="ar-SA"/>
      </w:rPr>
    </w:lvl>
    <w:lvl w:ilvl="3" w:tplc="3930436E">
      <w:numFmt w:val="bullet"/>
      <w:lvlText w:val="•"/>
      <w:lvlJc w:val="left"/>
      <w:pPr>
        <w:ind w:left="2212" w:hanging="360"/>
      </w:pPr>
      <w:rPr>
        <w:rFonts w:hint="default"/>
        <w:lang w:val="en-US" w:eastAsia="en-US" w:bidi="ar-SA"/>
      </w:rPr>
    </w:lvl>
    <w:lvl w:ilvl="4" w:tplc="2DD82976">
      <w:numFmt w:val="bullet"/>
      <w:lvlText w:val="•"/>
      <w:lvlJc w:val="left"/>
      <w:pPr>
        <w:ind w:left="3285" w:hanging="360"/>
      </w:pPr>
      <w:rPr>
        <w:rFonts w:hint="default"/>
        <w:lang w:val="en-US" w:eastAsia="en-US" w:bidi="ar-SA"/>
      </w:rPr>
    </w:lvl>
    <w:lvl w:ilvl="5" w:tplc="0F5ED7EA">
      <w:numFmt w:val="bullet"/>
      <w:lvlText w:val="•"/>
      <w:lvlJc w:val="left"/>
      <w:pPr>
        <w:ind w:left="4357" w:hanging="360"/>
      </w:pPr>
      <w:rPr>
        <w:rFonts w:hint="default"/>
        <w:lang w:val="en-US" w:eastAsia="en-US" w:bidi="ar-SA"/>
      </w:rPr>
    </w:lvl>
    <w:lvl w:ilvl="6" w:tplc="CEC63A88">
      <w:numFmt w:val="bullet"/>
      <w:lvlText w:val="•"/>
      <w:lvlJc w:val="left"/>
      <w:pPr>
        <w:ind w:left="5430" w:hanging="360"/>
      </w:pPr>
      <w:rPr>
        <w:rFonts w:hint="default"/>
        <w:lang w:val="en-US" w:eastAsia="en-US" w:bidi="ar-SA"/>
      </w:rPr>
    </w:lvl>
    <w:lvl w:ilvl="7" w:tplc="F126BFBC">
      <w:numFmt w:val="bullet"/>
      <w:lvlText w:val="•"/>
      <w:lvlJc w:val="left"/>
      <w:pPr>
        <w:ind w:left="6502" w:hanging="360"/>
      </w:pPr>
      <w:rPr>
        <w:rFonts w:hint="default"/>
        <w:lang w:val="en-US" w:eastAsia="en-US" w:bidi="ar-SA"/>
      </w:rPr>
    </w:lvl>
    <w:lvl w:ilvl="8" w:tplc="1FBA920E">
      <w:numFmt w:val="bullet"/>
      <w:lvlText w:val="•"/>
      <w:lvlJc w:val="left"/>
      <w:pPr>
        <w:ind w:left="757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626EC"/>
    <w:rsid w:val="002626EC"/>
    <w:rsid w:val="00D5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616" w:hanging="19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ind w:left="360" w:right="5"/>
    </w:pPr>
    <w:rPr>
      <w:rFonts w:ascii="Times New Roman" w:eastAsia="Times New Roman" w:hAnsi="Times New Roman" w:cs="Times New Roman"/>
      <w:b/>
      <w:bCs/>
      <w:sz w:val="56"/>
      <w:szCs w:val="56"/>
    </w:rPr>
  </w:style>
  <w:style w:type="paragraph" w:styleId="ListParagraph">
    <w:name w:val="List Paragraph"/>
    <w:basedOn w:val="Normal"/>
    <w:uiPriority w:val="1"/>
    <w:qFormat/>
    <w:pPr>
      <w:ind w:left="1140"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616" w:hanging="19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ind w:left="360" w:right="5"/>
    </w:pPr>
    <w:rPr>
      <w:rFonts w:ascii="Times New Roman" w:eastAsia="Times New Roman" w:hAnsi="Times New Roman" w:cs="Times New Roman"/>
      <w:b/>
      <w:bCs/>
      <w:sz w:val="56"/>
      <w:szCs w:val="56"/>
    </w:rPr>
  </w:style>
  <w:style w:type="paragraph" w:styleId="ListParagraph">
    <w:name w:val="List Paragraph"/>
    <w:basedOn w:val="Normal"/>
    <w:uiPriority w:val="1"/>
    <w:qFormat/>
    <w:pPr>
      <w:ind w:left="11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2025-11-03T06:15:00Z</dcterms:created>
  <dcterms:modified xsi:type="dcterms:W3CDTF">2025-11-03T06:17:00Z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2025-11-03T00:00:00Z</vt:filetime>
  </property>
  <property fmtid="{D5CDD505-2E9C-101B-9397-08002B2CF9AE}" pid="4" name="Producer">
    <vt:lpwstr>iLovePDF</vt:lpwstr>
  </property>
</Properties>
</file>